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A75EB8">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75EB8" w:rsidP="00E56A82">
            <w:pPr>
              <w:jc w:val="center"/>
              <w:rPr>
                <w:rFonts w:ascii="Garamond" w:hAnsi="Garamond"/>
                <w:b/>
                <w:bCs/>
                <w:color w:val="FF0000"/>
                <w:sz w:val="32"/>
                <w:szCs w:val="22"/>
              </w:rPr>
            </w:pPr>
            <w:r w:rsidRPr="00A75EB8">
              <w:rPr>
                <w:rFonts w:ascii="Garamond" w:hAnsi="Garamond"/>
                <w:b/>
                <w:bCs/>
                <w:color w:val="FF0000"/>
                <w:sz w:val="32"/>
                <w:szCs w:val="22"/>
              </w:rPr>
              <w:t>Computer Information Systems Adjunct Instructor</w:t>
            </w:r>
          </w:p>
        </w:tc>
      </w:tr>
      <w:tr w:rsidR="0022415F" w:rsidRPr="002873DF" w:rsidTr="00A75EB8">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tcPr>
          <w:p w:rsidR="00E56A82" w:rsidRPr="00710526" w:rsidRDefault="00A75EB8" w:rsidP="00027497">
            <w:pPr>
              <w:jc w:val="both"/>
              <w:rPr>
                <w:rFonts w:ascii="Garamond" w:hAnsi="Garamond"/>
                <w:sz w:val="18"/>
                <w:szCs w:val="18"/>
              </w:rPr>
            </w:pPr>
            <w:r w:rsidRPr="00A75EB8">
              <w:rPr>
                <w:rFonts w:ascii="Garamond" w:hAnsi="Garamond"/>
                <w:sz w:val="18"/>
                <w:szCs w:val="18"/>
              </w:rPr>
              <w:t>Americus or Cordele or Online</w:t>
            </w:r>
          </w:p>
        </w:tc>
      </w:tr>
      <w:tr w:rsidR="006710FD" w:rsidRPr="002873DF" w:rsidTr="00A75EB8">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AB3D36" w:rsidRPr="00710526" w:rsidRDefault="00A75EB8" w:rsidP="00C44B7B">
            <w:pPr>
              <w:jc w:val="both"/>
              <w:rPr>
                <w:rFonts w:ascii="Garamond" w:hAnsi="Garamond" w:cs="Calibri"/>
                <w:sz w:val="18"/>
                <w:szCs w:val="18"/>
              </w:rPr>
            </w:pPr>
            <w:r w:rsidRPr="00A75EB8">
              <w:rPr>
                <w:rFonts w:ascii="Garamond" w:hAnsi="Garamond" w:cs="Calibri"/>
                <w:sz w:val="18"/>
                <w:szCs w:val="18"/>
              </w:rPr>
              <w:t xml:space="preserve">Under general supervision, will provide instruction to students at SGTC in Computer Information System (CIS) courses. Demonstrates the use of appropriate teaching techniques. Demonstrates appropriate testing and grading procedures including proper maintenance of grade books and other appropriate record-keeping required. Demonstrates the effective use of oral and written communication skills. Demonstrates knowledge of current procedures in the CIS field. Follows approved course syllabus. Completes all documentation related to assigned courses </w:t>
            </w:r>
            <w:r>
              <w:rPr>
                <w:rFonts w:ascii="Garamond" w:hAnsi="Garamond" w:cs="Calibri"/>
                <w:sz w:val="18"/>
                <w:szCs w:val="18"/>
              </w:rPr>
              <w:t>on time</w:t>
            </w:r>
            <w:r w:rsidRPr="00A75EB8">
              <w:rPr>
                <w:rFonts w:ascii="Garamond" w:hAnsi="Garamond" w:cs="Calibri"/>
                <w:sz w:val="18"/>
                <w:szCs w:val="18"/>
              </w:rPr>
              <w:t xml:space="preserve"> and maintains an accurate inventory of all assigned property. Provides direction for students concerning course material. All other duties as assigned. </w:t>
            </w: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tcPr>
          <w:p w:rsidR="00077C30" w:rsidRPr="00710526" w:rsidRDefault="00A75EB8" w:rsidP="00C44B7B">
            <w:pPr>
              <w:pStyle w:val="Default"/>
              <w:jc w:val="both"/>
              <w:rPr>
                <w:rFonts w:ascii="Garamond" w:hAnsi="Garamond" w:cs="Calibri"/>
                <w:color w:val="auto"/>
                <w:sz w:val="18"/>
                <w:szCs w:val="18"/>
              </w:rPr>
            </w:pPr>
            <w:r w:rsidRPr="00A75EB8">
              <w:rPr>
                <w:rFonts w:ascii="Garamond" w:hAnsi="Garamond" w:cs="Calibri"/>
                <w:color w:val="auto"/>
                <w:sz w:val="18"/>
                <w:szCs w:val="18"/>
              </w:rPr>
              <w:t xml:space="preserve">Associate’s Degree in Computer Information Systems or closely related field from a regionally accredited college or university *and* three (3) years within the last seven (7) </w:t>
            </w:r>
            <w:r>
              <w:rPr>
                <w:rFonts w:ascii="Garamond" w:hAnsi="Garamond" w:cs="Calibri"/>
                <w:color w:val="auto"/>
                <w:sz w:val="18"/>
                <w:szCs w:val="18"/>
              </w:rPr>
              <w:t>years</w:t>
            </w:r>
            <w:r w:rsidRPr="00A75EB8">
              <w:rPr>
                <w:rFonts w:ascii="Garamond" w:hAnsi="Garamond" w:cs="Calibri"/>
                <w:color w:val="auto"/>
                <w:sz w:val="18"/>
                <w:szCs w:val="18"/>
              </w:rPr>
              <w:t xml:space="preserve"> </w:t>
            </w:r>
            <w:r>
              <w:rPr>
                <w:rFonts w:ascii="Garamond" w:hAnsi="Garamond" w:cs="Calibri"/>
                <w:color w:val="auto"/>
                <w:sz w:val="18"/>
                <w:szCs w:val="18"/>
              </w:rPr>
              <w:t xml:space="preserve">of </w:t>
            </w:r>
            <w:r w:rsidRPr="00A75EB8">
              <w:rPr>
                <w:rFonts w:ascii="Garamond" w:hAnsi="Garamond" w:cs="Calibri"/>
                <w:color w:val="auto"/>
                <w:sz w:val="18"/>
                <w:szCs w:val="18"/>
              </w:rPr>
              <w:t>work experience in the CIS field.</w:t>
            </w:r>
          </w:p>
        </w:tc>
      </w:tr>
      <w:tr w:rsidR="0097167C" w:rsidRPr="002873DF" w:rsidTr="00A75EB8">
        <w:trPr>
          <w:jc w:val="center"/>
        </w:trPr>
        <w:tc>
          <w:tcPr>
            <w:tcW w:w="277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A75EB8" w:rsidP="00C44B7B">
            <w:pPr>
              <w:jc w:val="both"/>
              <w:rPr>
                <w:rFonts w:ascii="Garamond" w:hAnsi="Garamond"/>
                <w:color w:val="000000"/>
                <w:sz w:val="18"/>
                <w:szCs w:val="18"/>
              </w:rPr>
            </w:pPr>
            <w:r w:rsidRPr="00A75EB8">
              <w:rPr>
                <w:rFonts w:ascii="Garamond" w:hAnsi="Garamond" w:cs="Calibri"/>
                <w:sz w:val="18"/>
                <w:szCs w:val="18"/>
              </w:rPr>
              <w:t xml:space="preserve">The candidate must have great interpersonal and communication skills. Proficient in the use of computer applications, highly organized, </w:t>
            </w:r>
            <w:r>
              <w:rPr>
                <w:rFonts w:ascii="Garamond" w:hAnsi="Garamond" w:cs="Calibri"/>
                <w:sz w:val="18"/>
                <w:szCs w:val="18"/>
              </w:rPr>
              <w:t xml:space="preserve">and </w:t>
            </w:r>
            <w:r w:rsidRPr="00A75EB8">
              <w:rPr>
                <w:rFonts w:ascii="Garamond" w:hAnsi="Garamond" w:cs="Calibri"/>
                <w:sz w:val="18"/>
                <w:szCs w:val="18"/>
              </w:rPr>
              <w:t xml:space="preserve">willing to work a flexible schedule. All positions require a pre-employment criminal background investigation and employee/professional reference check.  </w:t>
            </w:r>
            <w:r>
              <w:rPr>
                <w:rFonts w:ascii="Garamond" w:hAnsi="Garamond" w:cs="Calibri"/>
                <w:sz w:val="18"/>
                <w:szCs w:val="18"/>
              </w:rPr>
              <w:t>A valid</w:t>
            </w:r>
            <w:r w:rsidRPr="00A75EB8">
              <w:rPr>
                <w:rFonts w:ascii="Garamond" w:hAnsi="Garamond" w:cs="Calibri"/>
                <w:sz w:val="18"/>
                <w:szCs w:val="18"/>
              </w:rPr>
              <w:t xml:space="preserve"> driver’s license </w:t>
            </w:r>
            <w:r>
              <w:rPr>
                <w:rFonts w:ascii="Garamond" w:hAnsi="Garamond" w:cs="Calibri"/>
                <w:sz w:val="18"/>
                <w:szCs w:val="18"/>
              </w:rPr>
              <w:t xml:space="preserve">is </w:t>
            </w:r>
            <w:r w:rsidRPr="00A75EB8">
              <w:rPr>
                <w:rFonts w:ascii="Garamond" w:hAnsi="Garamond" w:cs="Calibri"/>
                <w:sz w:val="18"/>
                <w:szCs w:val="18"/>
              </w:rPr>
              <w:t xml:space="preserve">required.  Must be </w:t>
            </w:r>
            <w:r>
              <w:rPr>
                <w:rFonts w:ascii="Garamond" w:hAnsi="Garamond" w:cs="Calibri"/>
                <w:sz w:val="18"/>
                <w:szCs w:val="18"/>
              </w:rPr>
              <w:t>student-oriented</w:t>
            </w:r>
            <w:r w:rsidRPr="00A75EB8">
              <w:rPr>
                <w:rFonts w:ascii="Garamond" w:hAnsi="Garamond" w:cs="Calibri"/>
                <w:sz w:val="18"/>
                <w:szCs w:val="18"/>
              </w:rPr>
              <w:t xml:space="preserve"> and customer friendly.</w:t>
            </w: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A75EB8" w:rsidP="00027497">
            <w:pPr>
              <w:jc w:val="both"/>
              <w:rPr>
                <w:rFonts w:ascii="Garamond" w:hAnsi="Garamond"/>
                <w:sz w:val="18"/>
                <w:szCs w:val="18"/>
              </w:rPr>
            </w:pPr>
            <w:r w:rsidRPr="00A75EB8">
              <w:rPr>
                <w:rFonts w:ascii="Garamond" w:hAnsi="Garamond"/>
                <w:sz w:val="18"/>
                <w:szCs w:val="18"/>
              </w:rPr>
              <w:t xml:space="preserve">Bachelor’s Degree in Computer Information Systems or </w:t>
            </w:r>
            <w:r>
              <w:rPr>
                <w:rFonts w:ascii="Garamond" w:hAnsi="Garamond"/>
                <w:sz w:val="18"/>
                <w:szCs w:val="18"/>
              </w:rPr>
              <w:t xml:space="preserve">a </w:t>
            </w:r>
            <w:r w:rsidRPr="00A75EB8">
              <w:rPr>
                <w:rFonts w:ascii="Garamond" w:hAnsi="Garamond"/>
                <w:sz w:val="18"/>
                <w:szCs w:val="18"/>
              </w:rPr>
              <w:t>closely related field from a regionally accredited college or university.  Post-secondary teaching experience. Experience and certifications in AWS, iOS coding, Cybersecurity, and Python.</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F803F3" w:rsidRPr="00F803F3"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F803F3" w:rsidRDefault="00F803F3" w:rsidP="00F803F3">
            <w:pPr>
              <w:jc w:val="both"/>
              <w:rPr>
                <w:rFonts w:ascii="Garamond" w:hAnsi="Garamond"/>
                <w:b/>
                <w:bCs/>
                <w:color w:val="FF0000"/>
                <w:sz w:val="18"/>
                <w:szCs w:val="22"/>
              </w:rPr>
            </w:pPr>
          </w:p>
        </w:tc>
      </w:tr>
      <w:tr w:rsidR="00F803F3" w:rsidRPr="002873DF" w:rsidTr="00F803F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Pr>
                <w:rFonts w:ascii="Garamond" w:hAnsi="Garamond"/>
                <w:b/>
                <w:bCs/>
                <w:color w:val="FF0000"/>
                <w:sz w:val="22"/>
                <w:szCs w:val="22"/>
              </w:rPr>
              <w:t>Physical Demands:</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r w:rsidRPr="00A75EB8">
              <w:rPr>
                <w:rFonts w:ascii="Garamond" w:hAnsi="Garamond"/>
                <w:sz w:val="18"/>
                <w:szCs w:val="18"/>
              </w:rPr>
              <w:t>Work is typically performed in a classroom</w:t>
            </w:r>
            <w:r w:rsidR="006F10F0">
              <w:rPr>
                <w:rFonts w:ascii="Garamond" w:hAnsi="Garamond"/>
                <w:sz w:val="18"/>
                <w:szCs w:val="18"/>
              </w:rPr>
              <w:t>, with intermittent sitting or walking in various settings. The worker must frequently lift and carry lightweight objects. A full range of hand and finger motion is required. The worker must be able to speak clearly and hear and understand at a normal conversational level</w:t>
            </w:r>
            <w:r w:rsidRPr="00A75EB8">
              <w:rPr>
                <w:rFonts w:ascii="Garamond" w:hAnsi="Garamond"/>
                <w:sz w:val="18"/>
                <w:szCs w:val="18"/>
              </w:rPr>
              <w:t xml:space="preserve">. </w:t>
            </w:r>
          </w:p>
        </w:tc>
      </w:tr>
      <w:tr w:rsidR="00F803F3" w:rsidRPr="002873DF" w:rsidTr="00F803F3">
        <w:trPr>
          <w:jc w:val="center"/>
        </w:trPr>
        <w:tc>
          <w:tcPr>
            <w:tcW w:w="2775" w:type="dxa"/>
            <w:tcBorders>
              <w:top w:val="nil"/>
              <w:bottom w:val="nil"/>
              <w:right w:val="dotDash" w:sz="2" w:space="0" w:color="A6A6A6" w:themeColor="background1" w:themeShade="A6"/>
            </w:tcBorders>
            <w:shd w:val="clear" w:color="auto" w:fill="auto"/>
            <w:vAlign w:val="center"/>
          </w:tcPr>
          <w:p w:rsidR="00F803F3" w:rsidRDefault="00F803F3" w:rsidP="00F803F3">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A75EB8" w:rsidRDefault="00F803F3" w:rsidP="00F803F3">
            <w:pPr>
              <w:jc w:val="both"/>
              <w:rPr>
                <w:rFonts w:ascii="Garamond" w:hAnsi="Garamond"/>
                <w:sz w:val="18"/>
                <w:szCs w:val="18"/>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r w:rsidRPr="00F803F3">
              <w:rPr>
                <w:rFonts w:ascii="Garamond" w:hAnsi="Garamond"/>
                <w:sz w:val="18"/>
                <w:szCs w:val="18"/>
              </w:rPr>
              <w:t>All adjunct positions are part-time temporary, not to exceed 2</w:t>
            </w:r>
            <w:r w:rsidR="006F10F0">
              <w:rPr>
                <w:rFonts w:ascii="Garamond" w:hAnsi="Garamond"/>
                <w:sz w:val="18"/>
                <w:szCs w:val="18"/>
              </w:rPr>
              <w:t>5</w:t>
            </w:r>
            <w:r w:rsidRPr="00F803F3">
              <w:rPr>
                <w:rFonts w:ascii="Garamond" w:hAnsi="Garamond"/>
                <w:sz w:val="18"/>
                <w:szCs w:val="18"/>
              </w:rPr>
              <w:t xml:space="preserve"> hours per week</w:t>
            </w:r>
            <w:r>
              <w:rPr>
                <w:rFonts w:ascii="Garamond" w:hAnsi="Garamond"/>
                <w:sz w:val="18"/>
                <w:szCs w:val="18"/>
              </w:rPr>
              <w:t>,</w:t>
            </w:r>
            <w:r w:rsidRPr="00F803F3">
              <w:rPr>
                <w:rFonts w:ascii="Garamond" w:hAnsi="Garamond"/>
                <w:sz w:val="18"/>
                <w:szCs w:val="18"/>
              </w:rPr>
              <w:t xml:space="preserve"> and/or based on student enrollment each term.</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520CB4"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F803F3" w:rsidRPr="00710526" w:rsidRDefault="00F803F3" w:rsidP="00F803F3">
            <w:pPr>
              <w:jc w:val="both"/>
              <w:rPr>
                <w:rFonts w:ascii="Garamond" w:hAnsi="Garamond"/>
                <w:sz w:val="18"/>
                <w:szCs w:val="18"/>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F803F3" w:rsidRPr="00F803F3" w:rsidRDefault="00F803F3" w:rsidP="00F803F3">
            <w:pPr>
              <w:jc w:val="both"/>
              <w:rPr>
                <w:rFonts w:ascii="Garamond" w:hAnsi="Garamond"/>
                <w:sz w:val="16"/>
                <w:szCs w:val="16"/>
              </w:rPr>
            </w:pPr>
            <w:r w:rsidRPr="006F10F0">
              <w:rPr>
                <w:rFonts w:ascii="Garamond" w:hAnsi="Garamond"/>
                <w:sz w:val="18"/>
                <w:szCs w:val="18"/>
              </w:rPr>
              <w:t>Does not include State of GA Benefits or a promise of future full-time employment</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CD1150" w:rsidRDefault="00F803F3" w:rsidP="00F803F3">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tcPr>
          <w:p w:rsidR="00F803F3" w:rsidRPr="00CD1150" w:rsidRDefault="00F803F3" w:rsidP="00F803F3">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r>
              <w:rPr>
                <w:rFonts w:ascii="Garamond" w:hAnsi="Garamond"/>
                <w:sz w:val="18"/>
                <w:szCs w:val="18"/>
              </w:rPr>
              <w:t>Dean of Academic Affairs</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520CB4"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F803F3" w:rsidRPr="00710526" w:rsidRDefault="00F803F3" w:rsidP="00F803F3">
            <w:pPr>
              <w:jc w:val="both"/>
              <w:rPr>
                <w:rFonts w:ascii="Garamond" w:hAnsi="Garamond"/>
                <w:sz w:val="18"/>
                <w:szCs w:val="18"/>
              </w:rPr>
            </w:pPr>
            <w:bookmarkStart w:id="0" w:name="_GoBack"/>
            <w:bookmarkEnd w:id="0"/>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F803F3" w:rsidRPr="00710526" w:rsidRDefault="00F803F3" w:rsidP="00F803F3">
            <w:pPr>
              <w:jc w:val="both"/>
              <w:rPr>
                <w:rFonts w:ascii="Garamond" w:hAnsi="Garamond"/>
                <w:sz w:val="18"/>
                <w:szCs w:val="18"/>
              </w:rPr>
            </w:pPr>
            <w:r w:rsidRPr="00710526">
              <w:rPr>
                <w:rFonts w:ascii="Garamond" w:hAnsi="Garamond"/>
                <w:sz w:val="18"/>
                <w:szCs w:val="18"/>
              </w:rPr>
              <w:t xml:space="preserve">Until </w:t>
            </w:r>
            <w:r>
              <w:rPr>
                <w:rFonts w:ascii="Garamond" w:hAnsi="Garamond"/>
                <w:sz w:val="18"/>
                <w:szCs w:val="18"/>
              </w:rPr>
              <w:t>Filled</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F803F3"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F803F3" w:rsidRPr="00F803F3" w:rsidRDefault="00F803F3" w:rsidP="00F803F3">
            <w:pPr>
              <w:jc w:val="both"/>
              <w:rPr>
                <w:rFonts w:ascii="Garamond" w:hAnsi="Garamond"/>
                <w:b/>
                <w:bCs/>
                <w:color w:val="FF0000"/>
                <w:sz w:val="18"/>
                <w:szCs w:val="22"/>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Pr>
                <w:rFonts w:ascii="Garamond" w:hAnsi="Garamond"/>
                <w:b/>
                <w:bCs/>
                <w:color w:val="FF0000"/>
                <w:sz w:val="22"/>
                <w:szCs w:val="22"/>
              </w:rPr>
              <w:t>Schedule Availability:</w:t>
            </w:r>
          </w:p>
        </w:tc>
        <w:tc>
          <w:tcPr>
            <w:tcW w:w="6660" w:type="dxa"/>
            <w:gridSpan w:val="3"/>
            <w:tcBorders>
              <w:top w:val="nil"/>
              <w:left w:val="dotDash" w:sz="2" w:space="0" w:color="A6A6A6" w:themeColor="background1" w:themeShade="A6"/>
              <w:bottom w:val="nil"/>
            </w:tcBorders>
            <w:shd w:val="clear" w:color="auto" w:fill="auto"/>
            <w:vAlign w:val="center"/>
          </w:tcPr>
          <w:p w:rsidR="00F803F3" w:rsidRPr="00710526" w:rsidRDefault="00F803F3" w:rsidP="00F803F3">
            <w:pPr>
              <w:jc w:val="both"/>
              <w:rPr>
                <w:rFonts w:ascii="Garamond" w:hAnsi="Garamond"/>
                <w:sz w:val="18"/>
                <w:szCs w:val="18"/>
              </w:rPr>
            </w:pPr>
            <w:r w:rsidRPr="00A75EB8">
              <w:rPr>
                <w:rFonts w:ascii="Garamond" w:hAnsi="Garamond" w:cs="Calibri"/>
                <w:sz w:val="18"/>
                <w:szCs w:val="18"/>
              </w:rPr>
              <w:t>Day, evening</w:t>
            </w:r>
            <w:r>
              <w:rPr>
                <w:rFonts w:ascii="Garamond" w:hAnsi="Garamond" w:cs="Calibri"/>
                <w:sz w:val="18"/>
                <w:szCs w:val="18"/>
              </w:rPr>
              <w:t>,</w:t>
            </w:r>
            <w:r w:rsidRPr="00A75EB8">
              <w:rPr>
                <w:rFonts w:ascii="Garamond" w:hAnsi="Garamond" w:cs="Calibri"/>
                <w:sz w:val="18"/>
                <w:szCs w:val="18"/>
              </w:rPr>
              <w:t xml:space="preserve"> and/or weekend classes may be available based on scheduling needs</w:t>
            </w:r>
            <w:r>
              <w:rPr>
                <w:rFonts w:ascii="Garamond" w:hAnsi="Garamond" w:cs="Calibri"/>
                <w:sz w:val="18"/>
                <w:szCs w:val="18"/>
              </w:rPr>
              <w:t>.</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520CB4"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F803F3" w:rsidRPr="00710526" w:rsidRDefault="00F803F3" w:rsidP="00F803F3">
            <w:pPr>
              <w:jc w:val="both"/>
              <w:rPr>
                <w:rFonts w:ascii="Garamond" w:hAnsi="Garamond"/>
                <w:sz w:val="18"/>
                <w:szCs w:val="18"/>
              </w:rPr>
            </w:pP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F803F3" w:rsidRPr="002873DF" w:rsidTr="00A75EB8">
        <w:trPr>
          <w:jc w:val="center"/>
        </w:trPr>
        <w:tc>
          <w:tcPr>
            <w:tcW w:w="2775" w:type="dxa"/>
            <w:tcBorders>
              <w:top w:val="nil"/>
              <w:bottom w:val="nil"/>
              <w:right w:val="dotDash" w:sz="2" w:space="0" w:color="A6A6A6" w:themeColor="background1" w:themeShade="A6"/>
            </w:tcBorders>
            <w:shd w:val="clear" w:color="auto" w:fill="auto"/>
          </w:tcPr>
          <w:p w:rsidR="00F803F3" w:rsidRPr="00520CB4" w:rsidRDefault="00F803F3" w:rsidP="00F803F3">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tcPr>
          <w:p w:rsidR="00F803F3" w:rsidRPr="00710526" w:rsidRDefault="00F803F3" w:rsidP="00F803F3">
            <w:pPr>
              <w:jc w:val="both"/>
              <w:rPr>
                <w:rFonts w:ascii="Garamond" w:hAnsi="Garamond"/>
                <w:sz w:val="18"/>
                <w:szCs w:val="18"/>
              </w:rPr>
            </w:pPr>
          </w:p>
        </w:tc>
      </w:tr>
      <w:tr w:rsidR="00F803F3" w:rsidRPr="002873DF" w:rsidTr="00A75EB8">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F803F3" w:rsidRPr="00CD1150" w:rsidRDefault="00F803F3" w:rsidP="00F803F3">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tcPr>
          <w:p w:rsidR="00F803F3" w:rsidRPr="00710526" w:rsidRDefault="00F803F3" w:rsidP="00F803F3">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F803F3" w:rsidRPr="002873DF" w:rsidTr="00A75EB8">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F803F3" w:rsidRPr="00DE1A43" w:rsidRDefault="00F803F3" w:rsidP="00F803F3">
            <w:pPr>
              <w:jc w:val="both"/>
              <w:rPr>
                <w:rFonts w:ascii="Garamond" w:hAnsi="Garamond"/>
                <w:sz w:val="6"/>
                <w:szCs w:val="20"/>
              </w:rPr>
            </w:pPr>
          </w:p>
        </w:tc>
      </w:tr>
      <w:tr w:rsidR="00F803F3" w:rsidRPr="002873DF" w:rsidTr="00A75EB8">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F803F3" w:rsidRPr="00675F94" w:rsidRDefault="00F803F3" w:rsidP="00F803F3">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F803F3" w:rsidRPr="00675F94" w:rsidRDefault="00F803F3" w:rsidP="00F803F3">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F803F3" w:rsidRPr="00675F94" w:rsidRDefault="00F803F3" w:rsidP="00F803F3">
            <w:pPr>
              <w:jc w:val="right"/>
              <w:rPr>
                <w:rFonts w:ascii="Garamond" w:hAnsi="Garamond"/>
                <w:color w:val="FF0000"/>
                <w:sz w:val="16"/>
                <w:szCs w:val="20"/>
              </w:rPr>
            </w:pPr>
            <w:r w:rsidRPr="00675F94">
              <w:rPr>
                <w:rFonts w:ascii="Garamond" w:hAnsi="Garamond"/>
                <w:color w:val="FF0000"/>
                <w:sz w:val="16"/>
                <w:szCs w:val="20"/>
              </w:rPr>
              <w:t>Job Code</w:t>
            </w:r>
            <w:r>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F803F3" w:rsidRPr="00675F94" w:rsidRDefault="00F803F3" w:rsidP="00F803F3">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F2" w:rsidRDefault="004047F2">
      <w:r>
        <w:separator/>
      </w:r>
    </w:p>
  </w:endnote>
  <w:endnote w:type="continuationSeparator" w:id="0">
    <w:p w:rsidR="004047F2" w:rsidRDefault="0040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F2" w:rsidRDefault="004047F2">
      <w:r>
        <w:separator/>
      </w:r>
    </w:p>
  </w:footnote>
  <w:footnote w:type="continuationSeparator" w:id="0">
    <w:p w:rsidR="004047F2" w:rsidRDefault="0040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25724"/>
    <w:rsid w:val="00130490"/>
    <w:rsid w:val="00142EA4"/>
    <w:rsid w:val="001467F3"/>
    <w:rsid w:val="0017152A"/>
    <w:rsid w:val="001A3A67"/>
    <w:rsid w:val="001B1F3D"/>
    <w:rsid w:val="001B60F4"/>
    <w:rsid w:val="001F371C"/>
    <w:rsid w:val="0022415F"/>
    <w:rsid w:val="00272F9C"/>
    <w:rsid w:val="002873DF"/>
    <w:rsid w:val="002C2A99"/>
    <w:rsid w:val="002C37EB"/>
    <w:rsid w:val="003F7061"/>
    <w:rsid w:val="004047F2"/>
    <w:rsid w:val="0042078B"/>
    <w:rsid w:val="004272F4"/>
    <w:rsid w:val="00437701"/>
    <w:rsid w:val="00482312"/>
    <w:rsid w:val="004967A6"/>
    <w:rsid w:val="004A4A11"/>
    <w:rsid w:val="004C25BF"/>
    <w:rsid w:val="004E0E0D"/>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6E286D"/>
    <w:rsid w:val="006F10F0"/>
    <w:rsid w:val="00710526"/>
    <w:rsid w:val="00714A62"/>
    <w:rsid w:val="007C5D65"/>
    <w:rsid w:val="007E74DE"/>
    <w:rsid w:val="0083259C"/>
    <w:rsid w:val="008538D5"/>
    <w:rsid w:val="00861980"/>
    <w:rsid w:val="00877879"/>
    <w:rsid w:val="00894769"/>
    <w:rsid w:val="008B0314"/>
    <w:rsid w:val="00901EB3"/>
    <w:rsid w:val="0091536F"/>
    <w:rsid w:val="00921C4F"/>
    <w:rsid w:val="00934E94"/>
    <w:rsid w:val="0097167C"/>
    <w:rsid w:val="009840EA"/>
    <w:rsid w:val="00984C27"/>
    <w:rsid w:val="009B76D8"/>
    <w:rsid w:val="009E70A8"/>
    <w:rsid w:val="00A24CB6"/>
    <w:rsid w:val="00A647AE"/>
    <w:rsid w:val="00A75EB8"/>
    <w:rsid w:val="00AA4B3F"/>
    <w:rsid w:val="00AB3D36"/>
    <w:rsid w:val="00AC5E9D"/>
    <w:rsid w:val="00B03D6D"/>
    <w:rsid w:val="00B322A4"/>
    <w:rsid w:val="00B379D6"/>
    <w:rsid w:val="00B737DC"/>
    <w:rsid w:val="00B93E9B"/>
    <w:rsid w:val="00BB3613"/>
    <w:rsid w:val="00BC2587"/>
    <w:rsid w:val="00BF6AD7"/>
    <w:rsid w:val="00C35FA3"/>
    <w:rsid w:val="00C44B7B"/>
    <w:rsid w:val="00C44C3F"/>
    <w:rsid w:val="00C536EF"/>
    <w:rsid w:val="00C82963"/>
    <w:rsid w:val="00C9276A"/>
    <w:rsid w:val="00CB3632"/>
    <w:rsid w:val="00CD1150"/>
    <w:rsid w:val="00CD2029"/>
    <w:rsid w:val="00D24E03"/>
    <w:rsid w:val="00D75841"/>
    <w:rsid w:val="00D821F8"/>
    <w:rsid w:val="00DC2CD6"/>
    <w:rsid w:val="00DE1A43"/>
    <w:rsid w:val="00E56A82"/>
    <w:rsid w:val="00E75270"/>
    <w:rsid w:val="00E860E1"/>
    <w:rsid w:val="00E945C5"/>
    <w:rsid w:val="00EA20BE"/>
    <w:rsid w:val="00EC206C"/>
    <w:rsid w:val="00EC405C"/>
    <w:rsid w:val="00F041C6"/>
    <w:rsid w:val="00F42E92"/>
    <w:rsid w:val="00F803F3"/>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09C66"/>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3952">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047100282">
      <w:bodyDiv w:val="1"/>
      <w:marLeft w:val="0"/>
      <w:marRight w:val="0"/>
      <w:marTop w:val="0"/>
      <w:marBottom w:val="0"/>
      <w:divBdr>
        <w:top w:val="none" w:sz="0" w:space="0" w:color="auto"/>
        <w:left w:val="none" w:sz="0" w:space="0" w:color="auto"/>
        <w:bottom w:val="none" w:sz="0" w:space="0" w:color="auto"/>
        <w:right w:val="none" w:sz="0" w:space="0" w:color="auto"/>
      </w:divBdr>
    </w:div>
    <w:div w:id="12298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E2E6-F870-4E8A-8752-79E532D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443</Words>
  <Characters>2794</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3202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2025-03-05T21:40:00Z</cp:lastPrinted>
  <dcterms:created xsi:type="dcterms:W3CDTF">2025-03-11T15:13:00Z</dcterms:created>
  <dcterms:modified xsi:type="dcterms:W3CDTF">2025-03-11T15:13:00Z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2d6bb7eaafdbc038238965ddb002cc993bef498441407094da079e8189d4452e</vt:lpwstr>
  </property>
</Properties>
</file>